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57" w:after="57"/>
        <w:jc w:val="center"/>
        <w:rPr>
          <w:rFonts w:ascii="Verdana" w:hAnsi="Verdana" w:cs="Arial"/>
          <w:b/>
          <w:bCs/>
          <w:smallCaps/>
          <w:color w:val="000000"/>
        </w:rPr>
      </w:pPr>
      <w:r>
        <w:rPr>
          <w:rFonts w:cs="Arial" w:ascii="Verdana" w:hAnsi="Verdana"/>
          <w:b/>
          <w:bCs/>
          <w:smallCaps/>
          <w:color w:val="000000"/>
        </w:rPr>
      </w:r>
    </w:p>
    <w:p>
      <w:pPr>
        <w:pStyle w:val="Normal"/>
        <w:spacing w:lineRule="auto" w:line="240" w:before="57" w:after="57"/>
        <w:jc w:val="center"/>
        <w:rPr>
          <w:rFonts w:ascii="Verdana" w:hAnsi="Verdana"/>
        </w:rPr>
      </w:pPr>
      <w:r>
        <w:rPr>
          <w:rFonts w:cs="Arial" w:ascii="Verdana" w:hAnsi="Verdana"/>
          <w:b/>
          <w:bCs/>
          <w:smallCaps/>
          <w:color w:val="000000"/>
          <w:sz w:val="20"/>
          <w:szCs w:val="20"/>
        </w:rPr>
        <w:t xml:space="preserve">MINUTA DE EDITAL </w:t>
      </w:r>
    </w:p>
    <w:p>
      <w:pPr>
        <w:pStyle w:val="Normal"/>
        <w:spacing w:lineRule="auto" w:line="240" w:before="57" w:after="57"/>
        <w:jc w:val="center"/>
        <w:rPr>
          <w:rFonts w:ascii="Verdana" w:hAnsi="Verdana"/>
        </w:rPr>
      </w:pPr>
      <w:r>
        <w:rPr>
          <w:rFonts w:cs="Arial" w:ascii="Verdana" w:hAnsi="Verdana"/>
          <w:b/>
          <w:bCs/>
          <w:smallCaps/>
          <w:color w:val="000000"/>
          <w:sz w:val="20"/>
          <w:szCs w:val="20"/>
        </w:rPr>
        <w:t>P</w:t>
      </w:r>
      <w:r>
        <w:rPr>
          <w:rFonts w:cs="Arial" w:ascii="Verdana" w:hAnsi="Verdana"/>
          <w:b/>
          <w:bCs/>
          <w:smallCaps/>
          <w:color w:val="000000"/>
          <w:sz w:val="20"/>
          <w:szCs w:val="20"/>
        </w:rPr>
        <w:t>REGÃO ELETRÔNICO Nº 015/2026</w:t>
      </w:r>
    </w:p>
    <w:p>
      <w:pPr>
        <w:pStyle w:val="Normal"/>
        <w:spacing w:lineRule="auto" w:line="240" w:before="57" w:after="57"/>
        <w:jc w:val="center"/>
        <w:rPr>
          <w:rFonts w:ascii="Verdana" w:hAnsi="Verdana"/>
        </w:rPr>
      </w:pPr>
      <w:r>
        <w:rPr>
          <w:rFonts w:cs="Arial" w:ascii="Verdana" w:hAnsi="Verdana"/>
          <w:b/>
          <w:bCs/>
          <w:smallCaps/>
          <w:color w:val="000000"/>
          <w:sz w:val="20"/>
          <w:szCs w:val="20"/>
        </w:rPr>
        <w:t>(Processo Administrativo n° 2691/2026 de 16/04/2026)</w:t>
      </w:r>
    </w:p>
    <w:p>
      <w:pPr>
        <w:pStyle w:val="Normal"/>
        <w:spacing w:lineRule="auto" w:line="240" w:before="57" w:after="57"/>
        <w:jc w:val="center"/>
        <w:rPr>
          <w:rFonts w:ascii="Verdana" w:hAnsi="Verdana"/>
          <w:sz w:val="20"/>
          <w:szCs w:val="20"/>
        </w:rPr>
      </w:pPr>
      <w:r>
        <w:rPr>
          <w:rFonts w:ascii="Verdana" w:hAnsi="Verdana"/>
          <w:sz w:val="20"/>
          <w:szCs w:val="20"/>
        </w:rPr>
      </w:r>
    </w:p>
    <w:p>
      <w:pPr>
        <w:pStyle w:val="BodyText"/>
        <w:spacing w:lineRule="auto" w:line="240" w:before="0" w:after="0"/>
        <w:jc w:val="both"/>
        <w:rPr>
          <w:rFonts w:ascii="Verdana" w:hAnsi="Verdana"/>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jc w:val="both"/>
        <w:rPr>
          <w:rFonts w:ascii="Verdana" w:hAnsi="Verdana"/>
        </w:rPr>
      </w:pPr>
      <w:r>
        <w:rPr>
          <w:rFonts w:cs="Arial" w:ascii="Verdana" w:hAnsi="Verdana"/>
          <w:b/>
          <w:bCs/>
          <w:color w:val="000000"/>
          <w:sz w:val="20"/>
          <w:szCs w:val="20"/>
        </w:rPr>
        <w:t xml:space="preserve">Data da sessão: </w:t>
      </w:r>
      <w:r>
        <w:rPr>
          <w:rFonts w:cs="Arial" w:ascii="Verdana" w:hAnsi="Verdana"/>
          <w:b/>
          <w:bCs/>
          <w:color w:val="000000"/>
          <w:sz w:val="20"/>
          <w:szCs w:val="20"/>
        </w:rPr>
        <w:t>16</w:t>
      </w:r>
      <w:r>
        <w:rPr>
          <w:rFonts w:cs="Arial" w:ascii="Verdana" w:hAnsi="Verdana"/>
          <w:b/>
          <w:bCs/>
          <w:color w:val="000000"/>
          <w:sz w:val="20"/>
          <w:szCs w:val="20"/>
        </w:rPr>
        <w:t>/06/2026.</w:t>
      </w:r>
    </w:p>
    <w:p>
      <w:pPr>
        <w:pStyle w:val="Normal"/>
        <w:spacing w:lineRule="auto" w:line="240" w:before="0" w:after="0"/>
        <w:rPr>
          <w:rFonts w:ascii="Verdana" w:hAnsi="Verdana"/>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lineRule="auto" w:line="240" w:before="0" w:after="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0" w:after="0"/>
        <w:rPr>
          <w:rFonts w:ascii="Verdana" w:hAnsi="Verdana"/>
        </w:rPr>
      </w:pPr>
      <w:r>
        <w:rPr>
          <w:rFonts w:cs="Arial" w:ascii="Verdana" w:hAnsi="Verdana"/>
          <w:b/>
          <w:bCs/>
          <w:color w:val="000000"/>
          <w:sz w:val="20"/>
          <w:szCs w:val="20"/>
        </w:rPr>
        <w:t>ID CIDA</w:t>
      </w:r>
      <w:r>
        <w:rPr>
          <w:rFonts w:ascii="Verdana" w:hAnsi="Verdana"/>
          <w:b/>
          <w:bCs/>
          <w:sz w:val="20"/>
          <w:szCs w:val="20"/>
        </w:rPr>
        <w:t>DES: 2026.065E0700001.01.0005</w:t>
      </w:r>
    </w:p>
    <w:p>
      <w:pPr>
        <w:pStyle w:val="Normal"/>
        <w:spacing w:lineRule="auto" w:line="24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rPr>
      </w:pPr>
      <w:r>
        <w:rPr>
          <w:rFonts w:cs="Arial" w:ascii="Verdana" w:hAnsi="Verdana"/>
        </w:rPr>
        <w:t>DO OBJETO</w:t>
      </w:r>
    </w:p>
    <w:p>
      <w:pPr>
        <w:pStyle w:val="Nivel01"/>
        <w:spacing w:lineRule="auto" w:line="240" w:before="0" w:after="0"/>
        <w:rPr>
          <w:rFonts w:ascii="Verdana" w:hAnsi="Verdana"/>
        </w:rPr>
      </w:pPr>
      <w:r>
        <w:rPr>
          <w:rFonts w:cs="Arial" w:ascii="Verdana" w:hAnsi="Verdana"/>
        </w:rPr>
        <w:t xml:space="preserve">1.1 </w:t>
      </w:r>
      <w:r>
        <w:rPr>
          <w:rFonts w:cs="Arial" w:ascii="Verdana" w:hAnsi="Verdana"/>
          <w:b w:val="false"/>
          <w:bCs w:val="false"/>
        </w:rPr>
        <w:t>O objeto da presente licitação é a Constituição de Registro de Preços para Futura e eventual aquisição de equipamentos de proteção individual (EPI’S) para garantir a segurança e bem-estar dos colaboradores durante as atividades no município de São Gabriel da Palha e nas Unidades Administrativas e demais Secretarias, por um prazo de 12 (doze) meses,</w:t>
      </w:r>
      <w:r>
        <w:rPr>
          <w:rFonts w:ascii="Verdana" w:hAnsi="Verdana"/>
          <w:b w:val="false"/>
          <w:bCs w:val="false"/>
          <w:iCs/>
        </w:rPr>
        <w:t xml:space="preserve"> </w:t>
      </w:r>
      <w:r>
        <w:rPr>
          <w:rFonts w:eastAsia="Batang;바탕" w:cs="Arial" w:ascii="Verdana" w:hAnsi="Verdana"/>
          <w:b w:val="false"/>
          <w:bCs w:val="false"/>
          <w:kern w:val="2"/>
          <w:lang w:eastAsia="en-US" w:bidi="pt-BR"/>
        </w:rPr>
        <w:t>conforme c</w:t>
      </w:r>
      <w:r>
        <w:rPr>
          <w:rFonts w:cs="Arial" w:ascii="Verdana" w:hAnsi="Verdana"/>
          <w:b w:val="false"/>
          <w:bCs w:val="false"/>
        </w:rPr>
        <w:t>ondições, quantidades e exigências estabelecidas neste Edital e seus anexos.</w:t>
      </w:r>
    </w:p>
    <w:p>
      <w:pPr>
        <w:pStyle w:val="Normal"/>
        <w:spacing w:lineRule="auto" w:line="240" w:before="57" w:after="57"/>
        <w:jc w:val="both"/>
        <w:rPr>
          <w:rFonts w:ascii="Verdana" w:hAnsi="Verdana"/>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40" w:before="57" w:after="57"/>
        <w:jc w:val="both"/>
        <w:rPr>
          <w:rFonts w:ascii="Verdana" w:hAnsi="Verdana"/>
        </w:rPr>
      </w:pPr>
      <w:r>
        <w:rPr>
          <w:rFonts w:cs="Arial" w:ascii="Verdana" w:hAnsi="Verdana"/>
          <w:b/>
          <w:bCs/>
          <w:iCs/>
          <w:color w:val="000000"/>
          <w:sz w:val="20"/>
          <w:szCs w:val="20"/>
          <w:shd w:fill="FFFF00" w:val="clear"/>
        </w:rPr>
        <w:t>1.3 A licitação ocorrerá com exclusividade para micro empresas e empresas de pequeno porte.</w:t>
      </w:r>
    </w:p>
    <w:p>
      <w:pPr>
        <w:pStyle w:val="Normal"/>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rPr>
        <w:t xml:space="preserve">DO REGISTRO DE PREÇOS </w:t>
      </w:r>
    </w:p>
    <w:p>
      <w:pPr>
        <w:pStyle w:val="Normal"/>
        <w:spacing w:lineRule="auto" w:line="240"/>
        <w:jc w:val="both"/>
        <w:rPr>
          <w:rFonts w:ascii="Verdana" w:hAnsi="Verdana"/>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40"/>
        <w:jc w:val="both"/>
        <w:rPr>
          <w:rFonts w:ascii="Verdana" w:hAnsi="Verdana"/>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lineRule="auto" w:line="240" w:before="0" w:after="0"/>
        <w:rPr>
          <w:rFonts w:ascii="Verdana" w:hAnsi="Verdana"/>
        </w:rPr>
      </w:pPr>
      <w:r>
        <w:rPr>
          <w:rFonts w:ascii="Verdana" w:hAnsi="Verdana"/>
        </w:rPr>
      </w:r>
    </w:p>
    <w:p>
      <w:pPr>
        <w:pStyle w:val="Nivel01"/>
        <w:numPr>
          <w:ilvl w:val="0"/>
          <w:numId w:val="2"/>
        </w:numPr>
        <w:spacing w:lineRule="auto" w:line="240" w:before="0" w:after="0"/>
        <w:ind w:hanging="0" w:left="0"/>
        <w:rPr>
          <w:rFonts w:ascii="Verdana" w:hAnsi="Verdana"/>
        </w:rPr>
      </w:pPr>
      <w:r>
        <w:rPr>
          <w:rFonts w:cs="Arial" w:ascii="Verdana" w:hAnsi="Verdana"/>
        </w:rPr>
        <w:t>DO CREDENCIAMENTO</w:t>
      </w:r>
    </w:p>
    <w:p>
      <w:pPr>
        <w:pStyle w:val="Default"/>
        <w:spacing w:lineRule="auto" w:line="240"/>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jc w:val="both"/>
        <w:rPr>
          <w:rFonts w:ascii="Verdana" w:hAnsi="Verdana"/>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jc w:val="both"/>
        <w:rPr>
          <w:rFonts w:ascii="Verdana" w:hAnsi="Verdana"/>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jc w:val="both"/>
        <w:rPr>
          <w:rFonts w:ascii="Verdana" w:hAnsi="Verdana"/>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spacing w:lineRule="auto" w:line="240"/>
        <w:jc w:val="both"/>
        <w:rPr>
          <w:rFonts w:ascii="Verdana" w:hAnsi="Verdana"/>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jc w:val="both"/>
        <w:rPr>
          <w:rFonts w:ascii="Verdana" w:hAnsi="Verdana"/>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rPr>
        <w:t>DA PARTICIPAÇÃO NO PREGÃO.</w:t>
      </w:r>
    </w:p>
    <w:p>
      <w:pPr>
        <w:pStyle w:val="Normal"/>
        <w:spacing w:lineRule="auto" w:line="240"/>
        <w:jc w:val="both"/>
        <w:rPr>
          <w:rFonts w:ascii="Verdana" w:hAnsi="Verdana"/>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rFonts w:ascii="Verdana" w:hAnsi="Verdana"/>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jc w:val="both"/>
        <w:rPr/>
      </w:pPr>
      <w:r>
        <w:rPr>
          <w:rStyle w:val="InternetLink"/>
          <w:rFonts w:cs="Arial" w:ascii="Verdana" w:hAnsi="Verdana"/>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40" w:before="85" w:after="85"/>
        <w:jc w:val="both"/>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1"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1"/>
    </w:p>
    <w:p>
      <w:pPr>
        <w:pStyle w:val="Normal"/>
        <w:spacing w:lineRule="auto" w:line="240" w:before="85" w:after="85"/>
        <w:jc w:val="both"/>
        <w:rPr>
          <w:rFonts w:ascii="Verdana" w:hAnsi="Verdana"/>
        </w:rPr>
      </w:pPr>
      <w:r>
        <w:rPr>
          <w:rFonts w:cs="Arial" w:ascii="Verdana" w:hAnsi="Verdana"/>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pPr>
        <w:pStyle w:val="Normal"/>
        <w:snapToGrid w:val="false"/>
        <w:spacing w:lineRule="auto" w:line="240" w:before="85" w:after="85"/>
        <w:jc w:val="both"/>
        <w:rPr>
          <w:rFonts w:ascii="Verdana" w:hAnsi="Verdana"/>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85" w:after="85"/>
        <w:jc w:val="both"/>
        <w:rPr>
          <w:rFonts w:ascii="Verdana" w:hAnsi="Verdana"/>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before="85" w:after="85"/>
        <w:jc w:val="both"/>
        <w:rPr>
          <w:rFonts w:ascii="Verdana" w:hAnsi="Verdana"/>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85" w:after="85"/>
        <w:jc w:val="both"/>
        <w:rPr>
          <w:rFonts w:ascii="Verdana" w:hAnsi="Verdana"/>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lineRule="auto" w:line="240" w:before="85" w:after="85"/>
        <w:jc w:val="both"/>
        <w:rPr>
          <w:rFonts w:ascii="Verdana" w:hAnsi="Verdana"/>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lineRule="auto" w:line="240" w:before="85" w:after="85"/>
        <w:jc w:val="both"/>
        <w:rPr>
          <w:rFonts w:ascii="Verdana" w:hAnsi="Verdana"/>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lineRule="auto" w:line="240" w:before="85" w:after="85"/>
        <w:jc w:val="both"/>
        <w:rPr>
          <w:rFonts w:ascii="Verdana" w:hAnsi="Verdana"/>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85" w:after="85"/>
        <w:jc w:val="both"/>
        <w:rPr>
          <w:rFonts w:ascii="Verdana" w:hAnsi="Verdana"/>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lineRule="auto" w:line="240" w:before="85" w:after="85"/>
        <w:jc w:val="both"/>
        <w:rPr>
          <w:rFonts w:ascii="Verdana" w:hAnsi="Verdana"/>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85" w:after="85"/>
        <w:jc w:val="both"/>
        <w:rPr>
          <w:rFonts w:ascii="Verdana" w:hAnsi="Verdana"/>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40" w:before="85" w:after="85"/>
        <w:jc w:val="both"/>
        <w:rPr>
          <w:rFonts w:ascii="Verdana" w:hAnsi="Verdana"/>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0" w:after="0"/>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0" w:after="0"/>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0" w:after="0"/>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0" w:after="0"/>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0" w:after="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40"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3"/>
        </w:numPr>
        <w:tabs>
          <w:tab w:val="clear" w:pos="708"/>
          <w:tab w:val="left" w:pos="450" w:leader="none"/>
          <w:tab w:val="left" w:pos="1450" w:leader="none"/>
        </w:tabs>
        <w:spacing w:lineRule="auto" w:line="240" w:before="0" w:after="0"/>
        <w:ind w:hanging="0" w:left="0"/>
        <w:jc w:val="both"/>
        <w:rPr>
          <w:rFonts w:ascii="Verdana" w:hAnsi="Verdana"/>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08"/>
          <w:tab w:val="left" w:pos="450" w:leader="none"/>
        </w:tabs>
        <w:spacing w:lineRule="auto" w:line="240" w:before="0" w:after="0"/>
        <w:ind w:hanging="0" w:left="0"/>
        <w:jc w:val="both"/>
        <w:rPr>
          <w:rFonts w:ascii="Verdana" w:hAnsi="Verdana"/>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08"/>
          <w:tab w:val="left" w:pos="450" w:leader="none"/>
        </w:tabs>
        <w:spacing w:lineRule="auto" w:line="240" w:before="0" w:after="0"/>
        <w:ind w:hanging="0" w:left="0"/>
        <w:jc w:val="both"/>
        <w:rPr>
          <w:rFonts w:ascii="Verdana" w:hAnsi="Verdana"/>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08"/>
          <w:tab w:val="left" w:pos="450" w:leader="none"/>
        </w:tabs>
        <w:spacing w:lineRule="auto" w:line="240" w:before="0" w:after="0"/>
        <w:ind w:hanging="0" w:left="0"/>
        <w:jc w:val="both"/>
        <w:rPr>
          <w:rFonts w:ascii="Verdana" w:hAnsi="Verdana"/>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08"/>
          <w:tab w:val="left" w:pos="450" w:leader="none"/>
        </w:tabs>
        <w:spacing w:lineRule="auto" w:line="240" w:before="0" w:after="0"/>
        <w:ind w:hanging="0" w:left="0"/>
        <w:jc w:val="both"/>
        <w:rPr>
          <w:rFonts w:ascii="Verdana" w:hAnsi="Verdana"/>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08"/>
          <w:tab w:val="left" w:pos="450" w:leader="none"/>
        </w:tabs>
        <w:spacing w:lineRule="auto" w:line="240" w:before="0" w:after="0"/>
        <w:ind w:hanging="0" w:left="0"/>
        <w:jc w:val="both"/>
        <w:rPr>
          <w:rFonts w:ascii="Verdana" w:hAnsi="Verdana"/>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08"/>
          <w:tab w:val="left" w:pos="450" w:leader="none"/>
        </w:tabs>
        <w:spacing w:lineRule="auto" w:line="240" w:before="0" w:after="0"/>
        <w:ind w:hanging="0" w:left="0"/>
        <w:jc w:val="both"/>
        <w:rPr>
          <w:rFonts w:ascii="Verdana" w:hAnsi="Verdana"/>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08"/>
          <w:tab w:val="left" w:pos="450" w:leader="none"/>
        </w:tabs>
        <w:spacing w:lineRule="auto" w:line="240"/>
        <w:ind w:hanging="0" w:left="0"/>
        <w:jc w:val="both"/>
        <w:rPr>
          <w:rFonts w:ascii="Verdana" w:hAnsi="Verdana"/>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spacing w:lineRule="auto" w:line="240"/>
        <w:ind w:hanging="0" w:left="0"/>
        <w:jc w:val="both"/>
        <w:rPr>
          <w:rFonts w:ascii="Verdana" w:hAnsi="Verdana"/>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before="57" w:after="57"/>
        <w:ind w:hanging="0" w:left="0"/>
        <w:jc w:val="both"/>
        <w:rPr>
          <w:rFonts w:ascii="Verdana" w:hAnsi="Verdana"/>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before="57" w:after="57"/>
        <w:jc w:val="both"/>
        <w:rPr>
          <w:rFonts w:ascii="Verdana" w:hAnsi="Verdana"/>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before="57" w:after="57"/>
        <w:ind w:hanging="0" w:left="0"/>
        <w:jc w:val="both"/>
        <w:rPr>
          <w:rFonts w:ascii="Verdana" w:hAnsi="Verdana"/>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before="57" w:after="57"/>
        <w:ind w:hanging="0" w:left="0"/>
        <w:jc w:val="both"/>
        <w:rPr>
          <w:rFonts w:ascii="Verdana" w:hAnsi="Verdana"/>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before="57" w:after="57"/>
        <w:ind w:hanging="0" w:left="0"/>
        <w:jc w:val="both"/>
        <w:rPr>
          <w:rFonts w:ascii="Verdana" w:hAnsi="Verdana"/>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57" w:after="57"/>
        <w:ind w:hanging="0" w:left="0"/>
        <w:contextualSpacing w:val="false"/>
        <w:jc w:val="both"/>
        <w:rPr>
          <w:rFonts w:ascii="Verdana" w:hAnsi="Verdana"/>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57" w:after="57"/>
        <w:ind w:hanging="0" w:left="0"/>
        <w:contextualSpacing w:val="false"/>
        <w:jc w:val="both"/>
        <w:rPr>
          <w:rFonts w:ascii="Verdana" w:hAnsi="Verdana"/>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57" w:after="57"/>
        <w:ind w:hanging="0" w:left="0"/>
        <w:rPr>
          <w:rFonts w:ascii="Verdana" w:hAnsi="Verdana"/>
        </w:rPr>
      </w:pPr>
      <w:r>
        <w:rPr>
          <w:rFonts w:ascii="Verdana" w:hAnsi="Verdana"/>
        </w:rPr>
        <w:t>A apresentação das propostas implica obrigatoriedade do cumprimento das disposições nelas contidas, em conformidade com o que dispõe o Anexo 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0" w:after="0"/>
        <w:ind w:hanging="0" w:left="0"/>
        <w:contextualSpacing w:val="false"/>
        <w:jc w:val="both"/>
        <w:rPr>
          <w:rFonts w:ascii="Verdana" w:hAnsi="Verdana"/>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rFonts w:ascii="Verdana" w:hAnsi="Verdana"/>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left="0"/>
        <w:contextualSpacing w:val="false"/>
        <w:jc w:val="both"/>
        <w:rPr>
          <w:rFonts w:ascii="Verdana" w:hAnsi="Verdana"/>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before="57" w:after="57"/>
        <w:jc w:val="both"/>
        <w:rPr>
          <w:rFonts w:ascii="Verdana" w:hAnsi="Verdana"/>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before="57" w:after="57"/>
        <w:jc w:val="both"/>
        <w:rPr>
          <w:rFonts w:ascii="Verdana" w:hAnsi="Verdana"/>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40" w:before="57" w:after="57"/>
        <w:jc w:val="both"/>
        <w:rPr>
          <w:rFonts w:ascii="Verdana" w:hAnsi="Verdana"/>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40" w:before="57" w:after="57"/>
        <w:jc w:val="both"/>
        <w:rPr>
          <w:rFonts w:ascii="Verdana" w:hAnsi="Verdana"/>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before="57" w:after="57"/>
        <w:jc w:val="both"/>
        <w:rPr>
          <w:rFonts w:ascii="Verdana" w:hAnsi="Verdana"/>
        </w:rPr>
      </w:pPr>
      <w:r>
        <w:rPr>
          <w:rFonts w:ascii="Verdana" w:hAnsi="Verdana"/>
          <w:sz w:val="20"/>
          <w:szCs w:val="20"/>
        </w:rPr>
        <w:t>7.13 Após o reinício previsto no item supra, os licitantes serão convocados para apresentar lances intermediários.</w:t>
      </w:r>
    </w:p>
    <w:p>
      <w:pPr>
        <w:pStyle w:val="Normal"/>
        <w:spacing w:lineRule="auto" w:line="240" w:before="57" w:after="57"/>
        <w:jc w:val="both"/>
        <w:rPr>
          <w:rFonts w:ascii="Verdana" w:hAnsi="Verdana"/>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40" w:before="57" w:after="57"/>
        <w:jc w:val="both"/>
        <w:rPr>
          <w:rFonts w:ascii="Verdana" w:hAnsi="Verdana"/>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40" w:before="57" w:after="57"/>
        <w:jc w:val="both"/>
        <w:rPr>
          <w:rFonts w:ascii="Verdana" w:hAnsi="Verdana"/>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rFonts w:ascii="Verdana" w:hAnsi="Verdana"/>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40" w:before="57" w:after="57"/>
        <w:jc w:val="both"/>
        <w:rPr>
          <w:rFonts w:ascii="Verdana" w:hAnsi="Verdana"/>
        </w:rPr>
      </w:pPr>
      <w:r>
        <w:rPr>
          <w:rFonts w:cs="Arial" w:ascii="Verdana" w:hAnsi="Verdana"/>
          <w:color w:val="000000"/>
          <w:sz w:val="20"/>
          <w:szCs w:val="20"/>
        </w:rPr>
        <w:t>7.18 Caso o licitante não apresente lances, concorrerá com o valor de sua proposta.</w:t>
      </w:r>
    </w:p>
    <w:p>
      <w:pPr>
        <w:pStyle w:val="Normal"/>
        <w:spacing w:lineRule="auto" w:line="240" w:before="57" w:after="57"/>
        <w:jc w:val="both"/>
        <w:rPr>
          <w:rFonts w:ascii="Verdana" w:hAnsi="Verdana"/>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rFonts w:ascii="Verdana" w:hAnsi="Verdana"/>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rFonts w:ascii="Verdana" w:hAnsi="Verdana"/>
        </w:rPr>
      </w:pPr>
      <w:r>
        <w:rPr>
          <w:rFonts w:cs="Arial" w:ascii="Verdana" w:hAnsi="Verdana"/>
          <w:color w:val="000000"/>
          <w:sz w:val="20"/>
          <w:szCs w:val="20"/>
          <w:lang w:eastAsia="en-US"/>
        </w:rPr>
        <w:t>7.25.3 Por empresas brasileiras;</w:t>
      </w:r>
    </w:p>
    <w:p>
      <w:pPr>
        <w:pStyle w:val="Normal"/>
        <w:spacing w:lineRule="auto" w:line="240" w:before="57" w:after="57"/>
        <w:jc w:val="both"/>
        <w:rPr>
          <w:rFonts w:ascii="Verdana" w:hAnsi="Verdana"/>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rFonts w:ascii="Verdana" w:hAnsi="Verdana"/>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40" w:before="57" w:after="57"/>
        <w:ind w:left="0"/>
        <w:contextualSpacing w:val="false"/>
        <w:jc w:val="both"/>
        <w:rPr>
          <w:rFonts w:ascii="Verdana" w:hAnsi="Verdana"/>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0" w:after="0"/>
        <w:ind w:left="0"/>
        <w:contextualSpacing w:val="false"/>
        <w:jc w:val="both"/>
        <w:rPr>
          <w:rFonts w:ascii="Verdana" w:hAnsi="Verdana"/>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40"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40"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40" w:before="0" w:after="0"/>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3"/>
          <w:sz w:val="20"/>
          <w:u w:val="single"/>
          <w:szCs w:val="20"/>
          <w:rFonts w:cs="Arial" w:ascii="Verdana" w:hAnsi="Verdana"/>
          <w:color w:val="000080"/>
        </w:rPr>
        <w:instrText xml:space="preserve"> HYPERLINK "http://www.planalto.gov.br/ccivil_03/_ato2019-2022/2021/lei/L14133.htm" \l "art14"</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 14 da Lei nº 14.133/2021</w:t>
      </w:r>
      <w:r>
        <w:rPr>
          <w:rStyle w:val="ListLabel183"/>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57" w:after="57"/>
        <w:ind w:hanging="0" w:left="0"/>
        <w:jc w:val="both"/>
        <w:rPr>
          <w:rFonts w:ascii="Verdana" w:hAnsi="Verdana"/>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57" w:after="57"/>
        <w:jc w:val="both"/>
        <w:rPr>
          <w:rFonts w:ascii="Verdana" w:hAnsi="Verdana"/>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57" w:after="57"/>
        <w:jc w:val="both"/>
        <w:rPr>
          <w:rFonts w:ascii="Verdana" w:hAnsi="Verdana"/>
        </w:rPr>
      </w:pPr>
      <w:r>
        <w:rPr>
          <w:rFonts w:ascii="Verdana" w:hAnsi="Verdana"/>
          <w:sz w:val="20"/>
          <w:szCs w:val="20"/>
        </w:rPr>
        <w:t>8.4.2 contenha vício insanável ou ilegalidade;</w:t>
      </w:r>
    </w:p>
    <w:p>
      <w:pPr>
        <w:pStyle w:val="Normal"/>
        <w:tabs>
          <w:tab w:val="clear" w:pos="708"/>
          <w:tab w:val="left" w:pos="517" w:leader="none"/>
        </w:tabs>
        <w:spacing w:lineRule="auto" w:line="240" w:before="57" w:after="57"/>
        <w:jc w:val="both"/>
        <w:rPr>
          <w:rFonts w:ascii="Verdana" w:hAnsi="Verdana"/>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57" w:after="57"/>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40" w:before="57" w:after="57"/>
        <w:jc w:val="both"/>
        <w:rPr>
          <w:rFonts w:ascii="Verdana" w:hAnsi="Verdana"/>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57" w:after="57"/>
        <w:ind w:hanging="0" w:left="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ind w:hanging="0" w:left="0"/>
        <w:jc w:val="both"/>
        <w:rPr>
          <w:rFonts w:ascii="Verdana" w:hAnsi="Verdana"/>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40"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contextualSpacing w:val="false"/>
        <w:jc w:val="both"/>
        <w:rPr>
          <w:rFonts w:ascii="Verdana" w:hAnsi="Verdana"/>
        </w:rPr>
      </w:pPr>
      <w:r>
        <w:rPr>
          <w:rFonts w:cs="Arial" w:ascii="Verdana" w:hAnsi="Verdana"/>
          <w:sz w:val="20"/>
          <w:szCs w:val="20"/>
          <w:lang w:eastAsia="ar-SA"/>
        </w:rPr>
        <w:t>a) SICAF;</w:t>
      </w:r>
    </w:p>
    <w:p>
      <w:pPr>
        <w:pStyle w:val="ListParagraph"/>
        <w:spacing w:lineRule="auto" w:line="240"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184"/>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184"/>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0"/>
        <w:contextualSpacing w:val="false"/>
        <w:jc w:val="both"/>
        <w:rPr>
          <w:rFonts w:ascii="Verdana" w:hAnsi="Verdana"/>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185"/>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rFonts w:ascii="Verdana" w:hAnsi="Verdana"/>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rFonts w:ascii="Verdana" w:hAnsi="Verdana"/>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57" w:after="57"/>
        <w:ind w:hanging="0" w:left="0"/>
        <w:contextualSpacing w:val="false"/>
        <w:jc w:val="both"/>
        <w:rPr>
          <w:rFonts w:ascii="Verdana" w:hAnsi="Verdana"/>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57" w:after="57"/>
        <w:ind w:hanging="0" w:left="0"/>
        <w:contextualSpacing w:val="false"/>
        <w:rPr>
          <w:rFonts w:ascii="Verdana" w:hAnsi="Verdana"/>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57" w:after="57"/>
        <w:ind w:hanging="0" w:left="0"/>
        <w:contextualSpacing w:val="false"/>
        <w:rPr>
          <w:rFonts w:ascii="Verdana" w:hAnsi="Verdana"/>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57" w:after="57"/>
        <w:ind w:hanging="0" w:left="0"/>
        <w:contextualSpacing w:val="false"/>
        <w:rPr>
          <w:rFonts w:ascii="Verdana" w:hAnsi="Verdana"/>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57" w:after="57"/>
        <w:ind w:hanging="0" w:left="0"/>
        <w:contextualSpacing w:val="false"/>
        <w:rPr>
          <w:rFonts w:ascii="Verdana" w:hAnsi="Verdana"/>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57" w:after="57"/>
        <w:ind w:hanging="0" w:left="0"/>
        <w:contextualSpacing w:val="false"/>
        <w:rPr>
          <w:rFonts w:ascii="Verdana" w:hAnsi="Verdana"/>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4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40" w:before="0" w:after="0"/>
        <w:ind w:hanging="0" w:left="0"/>
        <w:contextualSpacing w:val="false"/>
        <w:jc w:val="both"/>
        <w:rPr>
          <w:rFonts w:ascii="Verdana" w:hAnsi="Verdana"/>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57" w:after="57"/>
        <w:ind w:hanging="0" w:left="0"/>
        <w:jc w:val="both"/>
        <w:rPr>
          <w:rFonts w:ascii="Verdana" w:hAnsi="Verdana"/>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57" w:after="57"/>
        <w:ind w:hanging="0" w:left="0"/>
        <w:jc w:val="both"/>
        <w:rPr>
          <w:rFonts w:ascii="Verdana" w:hAnsi="Verdana"/>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0" w:after="0"/>
        <w:ind w:hanging="0" w:left="0"/>
        <w:contextualSpacing w:val="false"/>
        <w:jc w:val="both"/>
        <w:rPr>
          <w:rFonts w:ascii="Verdana" w:hAnsi="Verdana"/>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rPr>
      </w:pPr>
      <w:r>
        <w:rPr>
          <w:rFonts w:cs="Arial" w:ascii="Verdana" w:hAnsi="Verdana"/>
          <w:lang w:eastAsia="en-US"/>
        </w:rPr>
        <w:t>DOS RECURSOS</w:t>
      </w:r>
    </w:p>
    <w:p>
      <w:pPr>
        <w:pStyle w:val="ListParagraph"/>
        <w:numPr>
          <w:ilvl w:val="1"/>
          <w:numId w:val="2"/>
        </w:numPr>
        <w:spacing w:lineRule="auto" w:line="240" w:before="0" w:after="0"/>
        <w:ind w:hanging="0" w:left="0"/>
        <w:contextualSpacing w:val="false"/>
        <w:jc w:val="both"/>
        <w:rPr>
          <w:rFonts w:ascii="Verdana" w:hAnsi="Verdana"/>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0" w:after="0"/>
        <w:ind w:hanging="0" w:left="0"/>
        <w:contextualSpacing w:val="false"/>
        <w:jc w:val="both"/>
        <w:rPr>
          <w:rFonts w:ascii="Verdana" w:hAnsi="Verdana"/>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lineRule="auto" w:line="240"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rPr>
          <w:rFonts w:ascii="Verdana" w:hAnsi="Verdana" w:cs="Arial"/>
          <w:sz w:val="20"/>
          <w:szCs w:val="20"/>
        </w:rPr>
      </w:pPr>
      <w:r>
        <w:rPr>
          <w:rFonts w:cs="Arial"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40" w:before="0" w:after="0"/>
        <w:ind w:hanging="0" w:left="0"/>
        <w:contextualSpacing w:val="false"/>
        <w:jc w:val="both"/>
        <w:rPr>
          <w:rFonts w:ascii="Verdana" w:hAnsi="Verdana"/>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0" w:after="0"/>
        <w:ind w:hanging="0" w:left="0"/>
        <w:contextualSpacing w:val="false"/>
        <w:jc w:val="both"/>
        <w:rPr>
          <w:rFonts w:ascii="Verdana" w:hAnsi="Verdana"/>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lineRule="auto" w:line="240" w:before="0" w:after="0"/>
        <w:ind w:hanging="0" w:left="0"/>
        <w:contextualSpacing w:val="false"/>
        <w:jc w:val="both"/>
        <w:rPr>
          <w:rFonts w:ascii="Verdana" w:hAnsi="Verdana"/>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40" w:before="57" w:after="57"/>
        <w:ind w:hanging="0" w:left="0"/>
        <w:contextualSpacing w:val="false"/>
        <w:jc w:val="both"/>
        <w:rPr>
          <w:rFonts w:ascii="Verdana" w:hAnsi="Verdana"/>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40" w:before="0" w:after="0"/>
        <w:ind w:hanging="0" w:left="0"/>
        <w:contextualSpacing w:val="false"/>
        <w:jc w:val="both"/>
        <w:rPr>
          <w:rFonts w:ascii="Verdana" w:hAnsi="Verdana"/>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40"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40" w:before="0" w:after="0"/>
        <w:ind w:left="0"/>
        <w:contextualSpacing w:val="false"/>
        <w:jc w:val="both"/>
        <w:rPr>
          <w:rFonts w:ascii="Verdana" w:hAnsi="Verdana"/>
        </w:rPr>
      </w:pPr>
      <w:r>
        <w:rPr>
          <w:rFonts w:cs="Arial" w:ascii="Verdana" w:hAnsi="Verdana"/>
          <w:b/>
          <w:bCs/>
          <w:sz w:val="20"/>
          <w:szCs w:val="20"/>
        </w:rPr>
        <w:t>15 DA ATA DE REGISTRO DE PREÇOS</w:t>
      </w:r>
    </w:p>
    <w:p>
      <w:pPr>
        <w:pStyle w:val="ListParagraph"/>
        <w:tabs>
          <w:tab w:val="clear" w:pos="708"/>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40" w:before="57" w:after="57"/>
        <w:ind w:left="0"/>
        <w:contextualSpacing w:val="false"/>
        <w:jc w:val="both"/>
        <w:rPr>
          <w:rFonts w:ascii="Verdana" w:hAnsi="Verdana"/>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40" w:before="57" w:after="57"/>
        <w:ind w:left="0"/>
        <w:contextualSpacing w:val="false"/>
        <w:jc w:val="both"/>
        <w:rPr>
          <w:rFonts w:ascii="Verdana" w:hAnsi="Verdana"/>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40" w:before="0" w:after="0"/>
        <w:ind w:left="0"/>
        <w:contextualSpacing w:val="false"/>
        <w:jc w:val="both"/>
        <w:rPr>
          <w:rFonts w:ascii="Verdana" w:hAnsi="Verdana"/>
          <w:bCs/>
          <w:sz w:val="20"/>
          <w:szCs w:val="20"/>
        </w:rPr>
      </w:pPr>
      <w:r>
        <w:rPr>
          <w:rFonts w:ascii="Verdana" w:hAnsi="Verdana"/>
          <w:bCs/>
          <w:sz w:val="20"/>
          <w:szCs w:val="20"/>
        </w:rPr>
      </w:r>
    </w:p>
    <w:p>
      <w:pPr>
        <w:pStyle w:val="Nivel01"/>
        <w:spacing w:lineRule="auto" w:line="240" w:before="0" w:after="0"/>
        <w:rPr>
          <w:rFonts w:ascii="Verdana" w:hAnsi="Verdana"/>
        </w:rPr>
      </w:pPr>
      <w:r>
        <w:rPr>
          <w:rFonts w:cs="Arial" w:ascii="Verdana" w:hAnsi="Verdana"/>
        </w:rPr>
        <w:t>16. DO REAJUSTAMENTO EM SENTIDO GERAL</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rPr>
      </w:pPr>
      <w:r>
        <w:rPr>
          <w:rFonts w:cs="Arial" w:ascii="Verdana" w:hAnsi="Verdana"/>
        </w:rPr>
        <w:t>17. DA ACEITAÇÃO DO OBJETO, DA FISCALIZAÇÃO E DAS AMOSTRAS</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lang w:eastAsia="en-US"/>
        </w:rPr>
        <w:t xml:space="preserve">17.2 Em cada aquisição, resultado a Ata de Registro de Preços, a Prefeitura Municipal de São Gabriel da Palha se reserva no direito de </w:t>
      </w:r>
      <w:r>
        <w:rPr>
          <w:rFonts w:cs="Arial" w:ascii="Verdana" w:hAnsi="Verdana"/>
          <w:i/>
          <w:iCs/>
          <w:color w:val="000000"/>
          <w:sz w:val="20"/>
          <w:szCs w:val="20"/>
          <w:lang w:eastAsia="en-US"/>
        </w:rPr>
        <w:t>solicitar amostras dos produtos ofertados</w:t>
      </w:r>
      <w:r>
        <w:rPr>
          <w:rFonts w:cs="Arial" w:ascii="Verdana" w:hAnsi="Verdana"/>
          <w:color w:val="000000"/>
          <w:sz w:val="20"/>
          <w:szCs w:val="20"/>
          <w:lang w:eastAsia="en-US"/>
        </w:rPr>
        <w:t xml:space="preserve"> para avaliação técnica que será realizada pelo Técnico de Segurança do Trabalho, com a Comissão Interma de Prevenção de Acidentes;</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17.2.2. As amostras deverão ser apresentadas com os catálogos e/ou prospectos que contenham a descrição em português detalhada do produto ofertado.</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17.2.3. As amostras deverão ter o CA - Certificado de Aprovação, emitido pela Secretaria de Inspeção do Trabalho – SIT / CAEPI - Certificado de Aprovação de Equipamento de Proteção Individual.</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17.2.4. Quando solicitadas às amostras e os catálogos, esses deverão ser apresentados na quantidade solicitada no prazo máximo de 72 horas</w:t>
      </w:r>
      <w:r>
        <w:rPr>
          <w:rFonts w:ascii="Verdana" w:hAnsi="Verdana"/>
          <w:b/>
          <w:bCs/>
          <w:sz w:val="20"/>
        </w:rPr>
        <w:t xml:space="preserve"> </w:t>
      </w:r>
      <w:r>
        <w:rPr>
          <w:rFonts w:ascii="Verdana" w:hAnsi="Verdana"/>
          <w:sz w:val="20"/>
        </w:rPr>
        <w:t>contadas do recebimento da solicitação;</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17.2.5. A quantidade das amostras deverá ser de no mínimo três unidades por item.</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17.2.6. O envio/postagem das amostras deverá se dar no prazo máximo de 72 horas contadas do recebimento da convocação,</w:t>
      </w:r>
    </w:p>
    <w:p>
      <w:pPr>
        <w:pStyle w:val="Normal"/>
        <w:tabs>
          <w:tab w:val="clear" w:pos="708"/>
          <w:tab w:val="left" w:pos="426" w:leader="none"/>
        </w:tabs>
        <w:suppressAutoHyphens w:val="false"/>
        <w:spacing w:lineRule="auto" w:line="240"/>
        <w:jc w:val="both"/>
        <w:rPr/>
      </w:pPr>
      <w:r>
        <w:rPr>
          <w:rFonts w:ascii="Verdana" w:hAnsi="Verdana"/>
          <w:sz w:val="20"/>
        </w:rPr>
        <w:t xml:space="preserve">17.2.7. Quando as amostras não forem entregues pessoalmente, o licitante deverá enviar para o endereço de e-mail: </w:t>
      </w:r>
      <w:hyperlink r:id="rId8">
        <w:r>
          <w:rPr>
            <w:rStyle w:val="Hyperlink"/>
            <w:rFonts w:ascii="Verdana" w:hAnsi="Verdana"/>
            <w:color w:val="auto"/>
            <w:sz w:val="20"/>
          </w:rPr>
          <w:t>administracao@saogabriel.es.gov.br</w:t>
        </w:r>
      </w:hyperlink>
      <w:r>
        <w:rPr>
          <w:rFonts w:ascii="Verdana" w:hAnsi="Verdana"/>
          <w:sz w:val="20"/>
        </w:rPr>
        <w:t xml:space="preserve"> o código de rastreamento referente ao envio/postagem da citada amostra.</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17.2.8. Este prazo poderá ser prorrogado quando for apresentada justificativa aceita pela Secretaria Municipal de Administração desde que a postagem da amostra tenha sido efetuada dentro do prazo contido no item 4.2.6 do termo de referência;</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17.2.9</w:t>
      </w:r>
      <w:r>
        <w:rPr>
          <w:rFonts w:ascii="Verdana" w:hAnsi="Verdana"/>
          <w:b/>
          <w:bCs/>
          <w:sz w:val="20"/>
        </w:rPr>
        <w:t xml:space="preserve">. </w:t>
      </w:r>
      <w:r>
        <w:rPr>
          <w:rFonts w:ascii="Verdana" w:hAnsi="Verdana"/>
          <w:sz w:val="20"/>
        </w:rPr>
        <w:t>O e-mail enviado com o código de rastreamento deverá conter obrigatoriamente as seguintes informações:</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Nome da empresa;</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CNPJ;</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Itens postados;</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Telefone para contato;</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Número do Pregão; e</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 </w:t>
      </w:r>
      <w:r>
        <w:rPr>
          <w:rFonts w:ascii="Verdana" w:hAnsi="Verdana"/>
          <w:sz w:val="20"/>
        </w:rPr>
        <w:t>Data da postagem.</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17.2.10. As amostras deverão ser encaminhadas à Secretaria Municipal de Administração – Departamento de Almoxarifado, no seguinte endereço:</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Prefeitura Municipal de São Gabriel da Palha </w:t>
      </w:r>
    </w:p>
    <w:p>
      <w:pPr>
        <w:pStyle w:val="Normal"/>
        <w:tabs>
          <w:tab w:val="clear" w:pos="708"/>
          <w:tab w:val="left" w:pos="426" w:leader="none"/>
        </w:tabs>
        <w:suppressAutoHyphens w:val="false"/>
        <w:spacing w:lineRule="auto" w:line="240"/>
        <w:jc w:val="both"/>
        <w:rPr>
          <w:rFonts w:ascii="Verdana" w:hAnsi="Verdana"/>
        </w:rPr>
      </w:pPr>
      <w:r>
        <w:rPr>
          <w:rFonts w:ascii="Verdana" w:hAnsi="Verdana"/>
          <w:sz w:val="20"/>
        </w:rPr>
        <w:t xml:space="preserve">Praça Vicente Glazar, 159, Glória, São Gabriel da Palha – ES </w:t>
      </w:r>
    </w:p>
    <w:p>
      <w:pPr>
        <w:pStyle w:val="Normal"/>
        <w:spacing w:lineRule="auto" w:line="240"/>
        <w:jc w:val="both"/>
        <w:rPr>
          <w:rFonts w:ascii="Verdana" w:hAnsi="Verdana"/>
        </w:rPr>
      </w:pPr>
      <w:r>
        <w:rPr>
          <w:rFonts w:cs="Arial" w:ascii="Verdana" w:hAnsi="Verdana"/>
          <w:sz w:val="20"/>
        </w:rPr>
        <w:t>CEP: 29.780-000</w:t>
      </w:r>
    </w:p>
    <w:p>
      <w:pPr>
        <w:pStyle w:val="ListParagraph"/>
        <w:suppressAutoHyphens w:val="false"/>
        <w:spacing w:lineRule="auto" w:line="240" w:before="0" w:after="0"/>
        <w:ind w:left="0"/>
        <w:contextualSpacing/>
        <w:jc w:val="both"/>
        <w:rPr>
          <w:rFonts w:ascii="Verdana" w:hAnsi="Verdana"/>
        </w:rPr>
      </w:pPr>
      <w:r>
        <w:rPr>
          <w:rFonts w:ascii="Verdana" w:hAnsi="Verdana"/>
          <w:sz w:val="20"/>
          <w:szCs w:val="20"/>
        </w:rPr>
        <w:t xml:space="preserve">17.11. </w:t>
      </w:r>
      <w:r>
        <w:rPr>
          <w:rFonts w:cs="Arial" w:ascii="Verdana" w:hAnsi="Verdana"/>
          <w:sz w:val="20"/>
          <w:szCs w:val="20"/>
        </w:rPr>
        <w:t xml:space="preserve">Na </w:t>
      </w:r>
      <w:r>
        <w:rPr>
          <w:rFonts w:eastAsia="Times New Roman" w:cs="Arial" w:ascii="Verdana" w:hAnsi="Verdana"/>
          <w:sz w:val="20"/>
          <w:szCs w:val="20"/>
          <w:lang w:eastAsia="zh-CN"/>
        </w:rPr>
        <w:t>entrega dos produtos</w:t>
      </w:r>
      <w:r>
        <w:rPr>
          <w:rFonts w:cs="Arial" w:ascii="Verdana" w:hAnsi="Verdana"/>
          <w:sz w:val="20"/>
          <w:szCs w:val="20"/>
        </w:rPr>
        <w:t>, a CONTRATADA deve:</w:t>
      </w:r>
    </w:p>
    <w:p>
      <w:pPr>
        <w:pStyle w:val="Normal"/>
        <w:spacing w:lineRule="auto" w:line="240"/>
        <w:jc w:val="both"/>
        <w:rPr>
          <w:rFonts w:ascii="Verdana" w:hAnsi="Verdana"/>
        </w:rPr>
      </w:pPr>
      <w:r>
        <w:rPr>
          <w:rFonts w:cs="Arial" w:ascii="Verdana" w:hAnsi="Verdana"/>
          <w:sz w:val="20"/>
        </w:rPr>
        <w:t xml:space="preserve">a) Fornecer os itens em perfeitas condições de </w:t>
      </w:r>
      <w:r>
        <w:rPr>
          <w:rFonts w:cs="Arial" w:ascii="Verdana" w:hAnsi="Verdana"/>
          <w:sz w:val="20"/>
          <w:lang w:eastAsia="zh-CN"/>
        </w:rPr>
        <w:t>consumo</w:t>
      </w:r>
      <w:r>
        <w:rPr>
          <w:rFonts w:cs="Arial" w:ascii="Verdana" w:hAnsi="Verdana"/>
          <w:sz w:val="20"/>
        </w:rPr>
        <w:t>, sem nenhuma avaria que comprometa a sua qualidade</w:t>
      </w:r>
    </w:p>
    <w:p>
      <w:pPr>
        <w:pStyle w:val="Normal"/>
        <w:spacing w:lineRule="auto" w:line="240"/>
        <w:jc w:val="both"/>
        <w:rPr>
          <w:rFonts w:ascii="Verdana" w:hAnsi="Verdana"/>
        </w:rPr>
      </w:pPr>
      <w:r>
        <w:rPr>
          <w:rFonts w:cs="Arial" w:ascii="Verdana" w:hAnsi="Verdana"/>
          <w:sz w:val="20"/>
        </w:rPr>
        <w:t xml:space="preserve">b) </w:t>
      </w:r>
      <w:r>
        <w:rPr>
          <w:rFonts w:cs="Arial" w:ascii="Verdana" w:hAnsi="Verdana"/>
          <w:sz w:val="20"/>
          <w:lang w:eastAsia="zh-CN"/>
        </w:rPr>
        <w:t>Fornecer os itens conforme a cotação de preços</w:t>
      </w:r>
      <w:r>
        <w:rPr>
          <w:rFonts w:cs="Arial" w:ascii="Verdana" w:hAnsi="Verdana"/>
          <w:sz w:val="20"/>
        </w:rPr>
        <w:t xml:space="preserve">. </w:t>
      </w:r>
    </w:p>
    <w:p>
      <w:pPr>
        <w:pStyle w:val="Normal"/>
        <w:spacing w:lineRule="auto" w:line="240"/>
        <w:jc w:val="both"/>
        <w:rPr>
          <w:rFonts w:ascii="Verdana" w:hAnsi="Verdana"/>
        </w:rPr>
      </w:pPr>
      <w:r>
        <w:rPr>
          <w:rFonts w:cs="Arial" w:ascii="Verdana" w:hAnsi="Verdana"/>
          <w:sz w:val="20"/>
        </w:rPr>
        <w:t>c) R</w:t>
      </w:r>
      <w:r>
        <w:rPr>
          <w:rFonts w:cs="Arial" w:ascii="Verdana" w:hAnsi="Verdana"/>
          <w:sz w:val="20"/>
          <w:lang w:eastAsia="zh-CN"/>
        </w:rPr>
        <w:t>ealizar a entrega dos produtos dentro do prazo determinado, sendo de sua total responsabilidade o custo com a logística</w:t>
      </w:r>
      <w:r>
        <w:rPr>
          <w:rFonts w:cs="Arial" w:ascii="Verdana" w:hAnsi="Verdana"/>
          <w:sz w:val="20"/>
        </w:rPr>
        <w:t xml:space="preserve">. </w:t>
      </w:r>
    </w:p>
    <w:p>
      <w:pPr>
        <w:pStyle w:val="Normal"/>
        <w:spacing w:lineRule="auto" w:line="240"/>
        <w:jc w:val="both"/>
        <w:rPr>
          <w:rFonts w:ascii="Verdana" w:hAnsi="Verdana"/>
        </w:rPr>
      </w:pPr>
      <w:r>
        <w:rPr>
          <w:rFonts w:cs="Arial" w:ascii="Verdana" w:hAnsi="Verdana"/>
          <w:sz w:val="20"/>
        </w:rPr>
        <w:t>d) Cotar e fornecer produtos de qualidade e que sejam próprios para o uso a que se destinam.</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lang w:eastAsia="en-US"/>
        </w:rPr>
        <w:t>e</w:t>
      </w:r>
      <w:r>
        <w:rPr>
          <w:rFonts w:cs="Arial" w:ascii="Verdana" w:hAnsi="Verdana"/>
          <w:b w:val="false"/>
          <w:bCs w:val="false"/>
          <w:color w:val="000000"/>
          <w:sz w:val="20"/>
          <w:szCs w:val="20"/>
          <w:lang w:eastAsia="en-US"/>
        </w:rPr>
        <w:t>)</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 xml:space="preserve">Realizar substituição dos </w:t>
      </w:r>
      <w:r>
        <w:rPr>
          <w:rFonts w:cs="Arial" w:ascii="Verdana" w:hAnsi="Verdana"/>
          <w:color w:val="000000"/>
          <w:sz w:val="20"/>
          <w:szCs w:val="20"/>
          <w:lang w:eastAsia="zh-CN"/>
        </w:rPr>
        <w:t>produtos que foram entregues danificados ou inconsumíveis imediatamente, se for o caso.</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rPr>
      </w:pPr>
      <w:r>
        <w:rPr>
          <w:rFonts w:cs="Arial" w:ascii="Verdana" w:hAnsi="Verdana"/>
          <w:lang w:eastAsia="en-US"/>
        </w:rPr>
        <w:t>18. DAS OBRIGAÇÕES DA CONTRATANTE E DA CONTRATADA</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rPr>
      </w:pPr>
      <w:r>
        <w:rPr>
          <w:rFonts w:cs="Arial" w:ascii="Verdana" w:hAnsi="Verdana"/>
        </w:rPr>
        <w:t>20. DAS SANÇÕES ADMINISTRATIVAS.</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jc w:val="both"/>
        <w:rPr>
          <w:rFonts w:ascii="Verdana" w:hAnsi="Verdana"/>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rFonts w:ascii="Verdana" w:hAnsi="Verdana"/>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40" w:before="57" w:after="57"/>
        <w:jc w:val="both"/>
        <w:rPr>
          <w:rFonts w:ascii="Verdana" w:hAnsi="Verdana"/>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lineRule="auto" w:line="240" w:before="57" w:after="57"/>
        <w:jc w:val="both"/>
        <w:rPr>
          <w:rFonts w:ascii="Verdana" w:hAnsi="Verdana"/>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40" w:before="57" w:after="57"/>
        <w:jc w:val="both"/>
        <w:rPr>
          <w:rFonts w:ascii="Verdana" w:hAnsi="Verdana"/>
        </w:rPr>
      </w:pPr>
      <w:r>
        <w:rPr>
          <w:rFonts w:ascii="Verdana" w:hAnsi="Verdana"/>
          <w:sz w:val="20"/>
          <w:szCs w:val="20"/>
        </w:rPr>
        <w:t>20.1.6.1 Agir em conluio ou em desconformidade com a lei;</w:t>
      </w:r>
    </w:p>
    <w:p>
      <w:pPr>
        <w:pStyle w:val="Normal"/>
        <w:spacing w:lineRule="auto" w:line="240" w:before="57" w:after="57"/>
        <w:jc w:val="both"/>
        <w:rPr>
          <w:rFonts w:ascii="Verdana" w:hAnsi="Verdana"/>
        </w:rPr>
      </w:pPr>
      <w:r>
        <w:rPr>
          <w:rFonts w:ascii="Verdana" w:hAnsi="Verdana"/>
          <w:sz w:val="20"/>
          <w:szCs w:val="20"/>
        </w:rPr>
        <w:t>20.1.6.2 Induzir deliberadamente a erro no julgamento;</w:t>
      </w:r>
    </w:p>
    <w:p>
      <w:pPr>
        <w:pStyle w:val="Normal"/>
        <w:spacing w:lineRule="auto" w:line="240" w:before="57" w:after="57"/>
        <w:jc w:val="both"/>
        <w:rPr>
          <w:rFonts w:ascii="Verdana" w:hAnsi="Verdana"/>
        </w:rPr>
      </w:pPr>
      <w:r>
        <w:rPr>
          <w:rFonts w:ascii="Verdana" w:hAnsi="Verdana"/>
          <w:sz w:val="20"/>
          <w:szCs w:val="20"/>
        </w:rPr>
        <w:t>20.1.6.3 Apresentar amostra falsificada ou deteriorada;</w:t>
      </w:r>
    </w:p>
    <w:p>
      <w:pPr>
        <w:pStyle w:val="Normal"/>
        <w:spacing w:lineRule="auto" w:line="240" w:before="57" w:after="57"/>
        <w:jc w:val="both"/>
        <w:rPr>
          <w:rFonts w:ascii="Verdana" w:hAnsi="Verdana"/>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40"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188"/>
          <w:sz w:val="20"/>
          <w:szCs w:val="20"/>
          <w:rFonts w:ascii="Verdana" w:hAnsi="Verdana"/>
          <w:color w:val="000000"/>
        </w:rPr>
        <w:instrText xml:space="preserve"> HYPERLINK "https://www.planalto.gov.br/ccivil_03/_ato2011-2014/2013/lei/l12846.htm" \l "art5"</w:instrText>
      </w:r>
      <w:r>
        <w:rPr>
          <w:rStyle w:val="ListLabel188"/>
          <w:sz w:val="20"/>
          <w:szCs w:val="20"/>
          <w:rFonts w:ascii="Verdana" w:hAnsi="Verdana"/>
          <w:color w:val="000000"/>
        </w:rPr>
        <w:fldChar w:fldCharType="separate"/>
      </w:r>
      <w:r>
        <w:rPr>
          <w:rStyle w:val="ListLabel188"/>
          <w:rFonts w:ascii="Verdana" w:hAnsi="Verdana"/>
          <w:color w:val="000000"/>
          <w:sz w:val="20"/>
          <w:szCs w:val="20"/>
        </w:rPr>
        <w:t>art. 5º da Lei n.º 12.846, de 2013</w:t>
      </w:r>
      <w:r>
        <w:rPr>
          <w:rStyle w:val="ListLabel188"/>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rPr>
      </w:pPr>
      <w:r>
        <w:rPr>
          <w:rFonts w:ascii="Verdana" w:hAnsi="Verdana"/>
        </w:rPr>
        <w:t>20.2.1 advertência;</w:t>
      </w:r>
    </w:p>
    <w:p>
      <w:pPr>
        <w:pStyle w:val="Nivel2"/>
        <w:numPr>
          <w:ilvl w:val="0"/>
          <w:numId w:val="0"/>
        </w:numPr>
        <w:spacing w:lineRule="auto" w:line="240" w:before="57" w:after="57"/>
        <w:ind w:hanging="0" w:left="0"/>
        <w:rPr>
          <w:rFonts w:ascii="Verdana" w:hAnsi="Verdana"/>
        </w:rPr>
      </w:pPr>
      <w:r>
        <w:rPr>
          <w:rFonts w:ascii="Verdana" w:hAnsi="Verdana"/>
        </w:rPr>
        <w:t>20.2.2 multa;</w:t>
      </w:r>
    </w:p>
    <w:p>
      <w:pPr>
        <w:pStyle w:val="Nivel2"/>
        <w:numPr>
          <w:ilvl w:val="0"/>
          <w:numId w:val="0"/>
        </w:numPr>
        <w:spacing w:lineRule="auto" w:line="240" w:before="57" w:after="57"/>
        <w:ind w:hanging="0" w:left="0"/>
        <w:rPr>
          <w:rFonts w:ascii="Verdana" w:hAnsi="Verdana"/>
        </w:rPr>
      </w:pPr>
      <w:r>
        <w:rPr>
          <w:rFonts w:ascii="Verdana" w:hAnsi="Verdana"/>
        </w:rPr>
        <w:t>20.2.3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rPr>
        <w:t>20.3.2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rPr>
        <w:t xml:space="preserve">20.4.1 </w:t>
      </w:r>
      <w:bookmarkStart w:id="20" w:name="_Hlk113876035"/>
      <w:bookmarkStart w:id="21" w:name="_Hlk113876035_Copia_1"/>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before="57" w:after="57"/>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before="57" w:after="57"/>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9"/>
          <w:rFonts w:ascii="Verdana" w:hAnsi="Verdana"/>
          <w:color w:val="000000"/>
        </w:rPr>
        <w:instrText xml:space="preserve"> HYPERLINK "http://www.planalto.gov.br/ccivil_03/_ato2019-2022/2021/lei/L14133.htm" \l "art156%C2%A75"</w:instrText>
      </w:r>
      <w:r>
        <w:rPr>
          <w:rStyle w:val="ListLabel189"/>
          <w:rFonts w:ascii="Verdana" w:hAnsi="Verdana"/>
          <w:color w:val="000000"/>
        </w:rPr>
        <w:fldChar w:fldCharType="separate"/>
      </w:r>
      <w:r>
        <w:rPr>
          <w:rStyle w:val="ListLabel189"/>
          <w:rFonts w:ascii="Verdana" w:hAnsi="Verdana"/>
          <w:color w:val="000000"/>
        </w:rPr>
        <w:t>art. 156, §5º, da Lei n.º 14.133/2021</w:t>
      </w:r>
      <w:r>
        <w:rPr>
          <w:rStyle w:val="ListLabel189"/>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189"/>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40"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0" w:after="0"/>
        <w:rPr>
          <w:rFonts w:ascii="Verdana" w:hAnsi="Verdana"/>
        </w:rPr>
      </w:pPr>
      <w:r>
        <w:rPr>
          <w:rFonts w:cs="Arial" w:ascii="Verdana" w:hAnsi="Verdana"/>
        </w:rPr>
        <w:t>21. DA IMPUGNAÇÃO AO EDITAL E DO PEDIDO DE ESCLARECIMENTO</w:t>
      </w:r>
    </w:p>
    <w:p>
      <w:pPr>
        <w:pStyle w:val="ListParagraph"/>
        <w:spacing w:lineRule="auto" w:line="240" w:before="0" w:after="0"/>
        <w:ind w:left="0"/>
        <w:contextualSpacing w:val="false"/>
        <w:jc w:val="both"/>
        <w:rPr>
          <w:rFonts w:ascii="Verdana" w:hAnsi="Verdana"/>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190"/>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rPr>
      </w:pPr>
      <w:r>
        <w:rPr>
          <w:rFonts w:cs="Arial" w:ascii="Verdana" w:hAnsi="Verdana"/>
        </w:rPr>
        <w:t>22. DAS DISPOSIÇÕES GERAIS</w:t>
      </w:r>
    </w:p>
    <w:p>
      <w:pPr>
        <w:pStyle w:val="Normal"/>
        <w:spacing w:lineRule="auto" w:line="240"/>
        <w:jc w:val="both"/>
        <w:rPr>
          <w:rFonts w:ascii="Verdana" w:hAnsi="Verdana"/>
        </w:rPr>
      </w:pPr>
      <w:r>
        <w:rPr>
          <w:rFonts w:cs="Arial" w:ascii="Verdana" w:hAnsi="Verdana"/>
          <w:color w:val="000000"/>
          <w:sz w:val="20"/>
          <w:szCs w:val="20"/>
        </w:rPr>
        <w:t>22.1 Da sessão pública do Pregão divulgar-se-á Ata no sistema eletrônico.</w:t>
      </w:r>
    </w:p>
    <w:p>
      <w:pPr>
        <w:pStyle w:val="Normal"/>
        <w:spacing w:lineRule="auto" w:line="240" w:before="57" w:after="57"/>
        <w:jc w:val="both"/>
        <w:rPr>
          <w:rFonts w:ascii="Verdana" w:hAnsi="Verdana"/>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jc w:val="both"/>
        <w:rPr>
          <w:rFonts w:ascii="Verdana" w:hAnsi="Verdana"/>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jc w:val="both"/>
        <w:rPr>
          <w:rFonts w:ascii="Verdana" w:hAnsi="Verdana"/>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185"/>
            <w:rFonts w:ascii="Verdana" w:hAnsi="Verdana"/>
            <w:color w:val="000080"/>
            <w:sz w:val="20"/>
            <w:szCs w:val="20"/>
            <w:u w:val="single"/>
          </w:rPr>
          <w:t>licitacao@</w:t>
        </w:r>
      </w:hyperlink>
      <w:hyperlink r:id="rId12">
        <w:r>
          <w:rPr>
            <w:rStyle w:val="ListLabel185"/>
            <w:rFonts w:ascii="Verdana" w:hAnsi="Verdana"/>
            <w:color w:val="000080"/>
            <w:sz w:val="20"/>
            <w:szCs w:val="20"/>
            <w:u w:val="single"/>
          </w:rPr>
          <w:t>saogabriel</w:t>
        </w:r>
      </w:hyperlink>
      <w:hyperlink r:id="rId13">
        <w:r>
          <w:rPr>
            <w:rStyle w:val="ListLabel185"/>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57" w:after="57"/>
        <w:jc w:val="both"/>
        <w:rPr>
          <w:rFonts w:ascii="Verdana" w:hAnsi="Verdana"/>
        </w:rPr>
      </w:pPr>
      <w:r>
        <w:rPr>
          <w:rFonts w:cs="Arial" w:ascii="Verdana" w:hAnsi="Verdana"/>
          <w:color w:val="000000"/>
          <w:sz w:val="20"/>
          <w:szCs w:val="20"/>
        </w:rPr>
        <w:t>22.12 Integram este Edital, para todos os fins e efeitos, os seguintes anexos</w:t>
      </w:r>
    </w:p>
    <w:p>
      <w:pPr>
        <w:pStyle w:val="Normal"/>
        <w:spacing w:lineRule="auto" w:line="240" w:before="57" w:after="57"/>
        <w:jc w:val="both"/>
        <w:rPr>
          <w:rFonts w:ascii="Verdana" w:hAnsi="Verdana"/>
        </w:rPr>
      </w:pPr>
      <w:r>
        <w:rPr>
          <w:rFonts w:cs="Arial" w:ascii="Verdana" w:hAnsi="Verdana"/>
          <w:color w:val="000000"/>
          <w:sz w:val="20"/>
          <w:szCs w:val="20"/>
        </w:rPr>
        <w:t>22.12.1 ANEXO I – Modelo Orientativo de Proposta;</w:t>
      </w:r>
    </w:p>
    <w:p>
      <w:pPr>
        <w:pStyle w:val="Normal"/>
        <w:spacing w:lineRule="auto" w:line="240" w:before="57" w:after="57"/>
        <w:jc w:val="both"/>
        <w:rPr>
          <w:rFonts w:ascii="Verdana" w:hAnsi="Verdana"/>
        </w:rPr>
      </w:pPr>
      <w:r>
        <w:rPr>
          <w:rFonts w:cs="Arial" w:ascii="Verdana" w:hAnsi="Verdana"/>
          <w:color w:val="000000"/>
          <w:sz w:val="20"/>
          <w:szCs w:val="20"/>
        </w:rPr>
        <w:t>22.12.2 ANEXO II – Termo de Referência;</w:t>
      </w:r>
    </w:p>
    <w:p>
      <w:pPr>
        <w:pStyle w:val="Normal"/>
        <w:spacing w:lineRule="auto" w:line="240" w:before="57" w:after="57"/>
        <w:jc w:val="both"/>
        <w:rPr>
          <w:rFonts w:ascii="Verdana" w:hAnsi="Verdana"/>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lineRule="auto" w:line="240" w:before="57" w:after="57"/>
        <w:jc w:val="both"/>
        <w:rPr>
          <w:rFonts w:ascii="Verdana" w:hAnsi="Verdana"/>
        </w:rPr>
      </w:pPr>
      <w:r>
        <w:rPr>
          <w:rFonts w:cs="Arial" w:ascii="Verdana" w:hAnsi="Verdana"/>
          <w:color w:val="000000"/>
          <w:sz w:val="20"/>
          <w:szCs w:val="20"/>
        </w:rPr>
        <w:t>22.12.3 ANEXO III – Minuta de Ata de Registro de Preços.</w:t>
      </w:r>
    </w:p>
    <w:p>
      <w:pPr>
        <w:pStyle w:val="Normal"/>
        <w:tabs>
          <w:tab w:val="clear" w:pos="708"/>
          <w:tab w:val="left" w:pos="800" w:leader="none"/>
        </w:tabs>
        <w:snapToGrid w:val="false"/>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08"/>
          <w:tab w:val="left" w:pos="567" w:leader="none"/>
        </w:tabs>
        <w:spacing w:lineRule="auto" w:line="240" w:before="57" w:after="57"/>
        <w:ind w:hanging="0" w:left="0"/>
        <w:jc w:val="center"/>
        <w:outlineLvl w:val="0"/>
        <w:rPr>
          <w:rFonts w:ascii="Verdana" w:hAnsi="Verdana"/>
        </w:rPr>
      </w:pPr>
      <w:r>
        <w:rPr>
          <w:rFonts w:cs="Arial" w:ascii="Verdana" w:hAnsi="Verdana"/>
          <w:color w:val="000000"/>
          <w:sz w:val="20"/>
          <w:szCs w:val="20"/>
        </w:rPr>
        <w:t>São Gabriel da Palha/ES, 26 de maio de 2026.</w:t>
      </w:r>
    </w:p>
    <w:p>
      <w:pPr>
        <w:pStyle w:val="Normal"/>
        <w:tabs>
          <w:tab w:val="clear" w:pos="708"/>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40" w:before="57" w:after="57"/>
        <w:ind w:hanging="0" w:left="0"/>
        <w:jc w:val="center"/>
        <w:outlineLvl w:val="0"/>
        <w:rPr>
          <w:rFonts w:ascii="Verdana" w:hAnsi="Verdana"/>
        </w:rPr>
      </w:pPr>
      <w:r>
        <w:rPr>
          <w:rFonts w:eastAsia="DejaVu Sans" w:cs="Arial" w:ascii="Verdana" w:hAnsi="Verdana" w:eastAsiaTheme="majorEastAsia"/>
          <w:b/>
          <w:bCs/>
          <w:color w:val="000000"/>
          <w:sz w:val="20"/>
          <w:szCs w:val="20"/>
        </w:rPr>
        <w:t>FRANCIELI DA ROCHA AVILA</w:t>
      </w:r>
    </w:p>
    <w:p>
      <w:pPr>
        <w:pStyle w:val="Normal"/>
        <w:spacing w:lineRule="auto" w:line="240"/>
        <w:jc w:val="center"/>
        <w:rPr>
          <w:rFonts w:ascii="Verdana" w:hAnsi="Verdana"/>
        </w:rPr>
      </w:pPr>
      <w:r>
        <w:rPr>
          <w:rFonts w:eastAsia="DejaVu Sans" w:cs="Arial" w:ascii="Verdana" w:hAnsi="Verdana" w:eastAsiaTheme="majorEastAsia"/>
          <w:b/>
          <w:bCs/>
          <w:color w:val="000000"/>
          <w:sz w:val="20"/>
          <w:szCs w:val="20"/>
        </w:rPr>
        <w:t>Secretária Municipal de Administração</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657" w:footer="0" w:bottom="113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OpenSymbol">
    <w:altName w:val="Arial Unicode MS"/>
    <w:charset w:val="00"/>
    <w:family w:val="roman"/>
    <w:pitch w:val="variable"/>
  </w:font>
  <w:font w:name="Verdana">
    <w:charset w:val="00"/>
    <w:family w:val="roman"/>
    <w:pitch w:val="variable"/>
  </w:font>
  <w:font w:name="Symbo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qFormat/>
    <w:pPr>
      <w:keepNext w:val="true"/>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paragraph" w:styleId="Heading7">
    <w:name w:val="Heading 7"/>
    <w:basedOn w:val="Normal"/>
    <w:next w:val="Normal"/>
    <w:qFormat/>
    <w:pPr>
      <w:keepNext w:val="true"/>
      <w:keepLines/>
      <w:spacing w:before="200" w:after="0"/>
      <w:outlineLvl w:val="6"/>
    </w:pPr>
    <w:rPr>
      <w:rFonts w:ascii="Cambria" w:hAnsi="Cambria" w:eastAsia="Calibri"/>
      <w:i/>
      <w:iCs/>
      <w:color w:val="404040"/>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551A8B"/>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Marcadores" w:customStyle="1">
    <w:name w:val="Marcadores"/>
    <w:qFormat/>
    <w:rPr>
      <w:rFonts w:ascii="OpenSymbol" w:hAnsi="OpenSymbol" w:eastAsia="OpenSymbol" w:cs="OpenSymbol"/>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t286pc" w:customStyle="1">
    <w:name w:val="t286pc"/>
    <w:basedOn w:val="DefaultParagraphFont"/>
    <w:qFormat/>
    <w:rsid w:val="00cd4fcc"/>
    <w:rPr/>
  </w:style>
  <w:style w:type="character" w:styleId="WW8Num2z0" w:customStyle="1">
    <w:name w:val="WW8Num2z0"/>
    <w:qFormat/>
    <w:rPr>
      <w:rFonts w:ascii="Verdana" w:hAnsi="Verdana" w:cs="Verdana"/>
      <w:b/>
      <w:sz w:val="18"/>
    </w:rPr>
  </w:style>
  <w:style w:type="character" w:styleId="WW8Num4z0" w:customStyle="1">
    <w:name w:val="WW8Num4z0"/>
    <w:qFormat/>
    <w:rPr>
      <w:rFonts w:ascii="Symbol" w:hAnsi="Symbol" w:cs="OpenSymbol;Arial Unicode MS"/>
    </w:rPr>
  </w:style>
  <w:style w:type="character" w:styleId="WW8Num5z0" w:customStyle="1">
    <w:name w:val="WW8Num5z0"/>
    <w:qFormat/>
    <w:rPr>
      <w:rFonts w:ascii="Symbol" w:hAnsi="Symbol" w:cs="OpenSymbol;Arial Unicode MS"/>
    </w:rPr>
  </w:style>
  <w:style w:type="character" w:styleId="WW8Num6z0" w:customStyle="1">
    <w:name w:val="WW8Num6z0"/>
    <w:qFormat/>
    <w:rPr>
      <w:rFonts w:ascii="Symbol" w:hAnsi="Symbol" w:cs="OpenSymbol;Arial Unicode MS"/>
    </w:rPr>
  </w:style>
  <w:style w:type="character" w:styleId="WW8Num7z0" w:customStyle="1">
    <w:name w:val="WW8Num7z0"/>
    <w:qFormat/>
    <w:rPr>
      <w:rFonts w:ascii="Symbol" w:hAnsi="Symbol" w:cs="OpenSymbol;Arial Unicode MS"/>
    </w:rPr>
  </w:style>
  <w:style w:type="character" w:styleId="WW8Num8z0" w:customStyle="1">
    <w:name w:val="WW8Num8z0"/>
    <w:qFormat/>
    <w:rPr>
      <w:rFonts w:ascii="Symbol" w:hAnsi="Symbol" w:cs="OpenSymbol;Arial Unicode MS"/>
    </w:rPr>
  </w:style>
  <w:style w:type="character" w:styleId="WW8Num9z0" w:customStyle="1">
    <w:name w:val="WW8Num9z0"/>
    <w:qFormat/>
    <w:rPr>
      <w:rFonts w:ascii="Symbol" w:hAnsi="Symbol" w:cs="OpenSymbol;Arial Unicode MS"/>
    </w:rPr>
  </w:style>
  <w:style w:type="character" w:styleId="WW8Num3z0" w:customStyle="1">
    <w:name w:val="WW8Num3z0"/>
    <w:qFormat/>
    <w:rPr>
      <w:b/>
      <w:bCs/>
    </w:rPr>
  </w:style>
  <w:style w:type="character" w:styleId="WW8Num1z0" w:customStyle="1">
    <w:name w:val="WW8Num1z0"/>
    <w:qFormat/>
    <w:rPr>
      <w:rFonts w:ascii="Verdana" w:hAnsi="Verdana" w:cs="Verdana"/>
      <w:b/>
      <w:sz w:val="18"/>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Ttulo3Char" w:customStyle="1">
    <w:name w:val="Título 3 Char"/>
    <w:basedOn w:val="DefaultParagraphFont"/>
    <w:qFormat/>
    <w:rPr>
      <w:rFonts w:ascii="Arial" w:hAnsi="Arial" w:eastAsia="Times New Roman" w:cs="Arial"/>
      <w:b/>
      <w:bCs/>
      <w:sz w:val="26"/>
      <w:szCs w:val="26"/>
      <w:lang w:eastAsia="pt-BR"/>
    </w:rPr>
  </w:style>
  <w:style w:type="character" w:styleId="Ttulo7Char" w:customStyle="1">
    <w:name w:val="Título 7 Char"/>
    <w:basedOn w:val="DefaultParagraphFont"/>
    <w:qFormat/>
    <w:rPr>
      <w:rFonts w:ascii="Cambria" w:hAnsi="Cambria" w:eastAsia="Calibri" w:cs="Tahoma"/>
      <w:i/>
      <w:iCs/>
      <w:color w:val="404040"/>
      <w:sz w:val="24"/>
      <w:szCs w:val="24"/>
      <w:lang w:eastAsia="pt-BR"/>
    </w:rPr>
  </w:style>
  <w:style w:type="character" w:styleId="PageNumber">
    <w:name w:val="Page Number"/>
    <w:basedOn w:val="DefaultParagraphFont"/>
    <w:qFormat/>
    <w:rPr/>
  </w:style>
  <w:style w:type="character" w:styleId="NormalWebChar" w:customStyle="1">
    <w:name w:val="Normal (Web) Char"/>
    <w:qFormat/>
    <w:rPr>
      <w:rFonts w:ascii="Times New Roman" w:hAnsi="Times New Roman" w:eastAsia="Times New Roman" w:cs="Times New Roman"/>
      <w:sz w:val="24"/>
      <w:szCs w:val="24"/>
      <w:lang w:eastAsia="pt-BR"/>
    </w:rPr>
  </w:style>
  <w:style w:type="character" w:styleId="PargrafoNormalChar" w:customStyle="1">
    <w:name w:val="Parágrafo Normal Char"/>
    <w:qFormat/>
    <w:rPr>
      <w:rFonts w:ascii="Times New Roman" w:hAnsi="Times New Roman" w:eastAsia="Times New Roman" w:cs="Times New Roman"/>
      <w:sz w:val="24"/>
      <w:szCs w:val="24"/>
      <w:lang w:eastAsia="pt-BR"/>
    </w:rPr>
  </w:style>
  <w:style w:type="character" w:styleId="Strong">
    <w:name w:val="Strong"/>
    <w:qFormat/>
    <w:rPr>
      <w:b/>
      <w:bCs/>
    </w:rPr>
  </w:style>
  <w:style w:type="character" w:styleId="InternetLink7">
    <w:name w:val="Internet Link7"/>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qFormat/>
    <w:pPr>
      <w:spacing w:lineRule="auto" w:line="276" w:before="0" w:after="200"/>
      <w:ind w:left="720"/>
      <w:contextualSpacing/>
    </w:pPr>
    <w:rPr>
      <w:rFonts w:ascii="Calibri" w:hAnsi="Calibri" w:eastAsia="Calibri" w:cs="Calibri"/>
      <w:sz w:val="22"/>
      <w:szCs w:val="22"/>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customStyle="1">
    <w:name w:val="Cabeçalho e rodapé9"/>
    <w:basedOn w:val="Normal"/>
    <w:qFormat/>
    <w:pPr/>
    <w:rPr/>
  </w:style>
  <w:style w:type="paragraph" w:styleId="Cabealhoerodap10" w:customStyle="1">
    <w:name w:val="Cabeçalho e rodapé10"/>
    <w:basedOn w:val="Normal"/>
    <w:qFormat/>
    <w:pPr/>
    <w:rPr/>
  </w:style>
  <w:style w:type="paragraph" w:styleId="Cabealhoerodap11" w:customStyle="1">
    <w:name w:val="Cabeçalho e rodapé11"/>
    <w:basedOn w:val="Normal"/>
    <w:qFormat/>
    <w:pPr/>
    <w:rPr/>
  </w:style>
  <w:style w:type="paragraph" w:styleId="Cabealhoerodap12">
    <w:name w:val="Cabeçalho e rodapé12"/>
    <w:basedOn w:val="Normal"/>
    <w:qFormat/>
    <w:pPr/>
    <w:rPr/>
  </w:style>
  <w:style w:type="paragraph" w:styleId="Cabealhoerodap13">
    <w:name w:val="Cabeçalho e rodapé13"/>
    <w:basedOn w:val="Normal"/>
    <w:qFormat/>
    <w:pPr/>
    <w:rPr/>
  </w:style>
  <w:style w:type="paragraph" w:styleId="Cabealhoerodap14">
    <w:name w:val="Cabeçalho e rodapé14"/>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Contedodatabela" w:customStyle="1">
    <w:name w:val="Conteúdo da tabela"/>
    <w:basedOn w:val="Normal"/>
    <w:qFormat/>
    <w:pPr>
      <w:widowControl w:val="false"/>
      <w:suppressLineNumbers/>
    </w:pPr>
    <w:rPr/>
  </w:style>
  <w:style w:type="paragraph" w:styleId="Ttulodetabela" w:customStyle="1">
    <w:name w:val="Título de tabela"/>
    <w:basedOn w:val="Contedodatabela"/>
    <w:qFormat/>
    <w:pPr>
      <w:jc w:val="center"/>
    </w:pPr>
    <w:rPr>
      <w:b/>
      <w:bCs/>
    </w:rPr>
  </w:style>
  <w:style w:type="paragraph" w:styleId="Normal1" w:customStyle="1">
    <w:name w:val="Normal1"/>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paragraph" w:styleId="caption1" w:customStyle="1">
    <w:name w:val="caption1"/>
    <w:basedOn w:val="Normal"/>
    <w:qFormat/>
    <w:pPr>
      <w:suppressLineNumbers/>
      <w:spacing w:before="120" w:after="120"/>
    </w:pPr>
    <w:rPr>
      <w:rFonts w:cs="Arial"/>
      <w:i/>
      <w:iCs/>
    </w:rPr>
  </w:style>
  <w:style w:type="paragraph" w:styleId="Corpodetexto21" w:customStyle="1">
    <w:name w:val="Corpo de texto 21"/>
    <w:basedOn w:val="Normal"/>
    <w:qFormat/>
    <w:pPr>
      <w:tabs>
        <w:tab w:val="clear" w:pos="708"/>
        <w:tab w:val="left" w:pos="0" w:leader="none"/>
        <w:tab w:val="left" w:pos="1134" w:leader="none"/>
      </w:tabs>
      <w:jc w:val="both"/>
      <w:textAlignment w:val="baseline"/>
    </w:pPr>
    <w:rPr>
      <w:rFonts w:ascii="Arial" w:hAnsi="Arial" w:cs="Arial"/>
      <w:szCs w:val="20"/>
    </w:rPr>
  </w:style>
  <w:style w:type="paragraph" w:styleId="NmerosPrincipais" w:customStyle="1">
    <w:name w:val="Números Principais"/>
    <w:basedOn w:val="Normal"/>
    <w:qFormat/>
    <w:pPr>
      <w:spacing w:before="120" w:after="240"/>
      <w:jc w:val="both"/>
    </w:pPr>
    <w:rPr/>
  </w:style>
  <w:style w:type="paragraph" w:styleId="LetrasMultinvel" w:customStyle="1">
    <w:name w:val="Letras Multinível"/>
    <w:basedOn w:val="BodyText"/>
    <w:qFormat/>
    <w:pPr>
      <w:jc w:val="both"/>
    </w:pPr>
    <w:rPr/>
  </w:style>
  <w:style w:type="paragraph" w:styleId="PargrafoNormal" w:customStyle="1">
    <w:name w:val="Parágrafo Normal"/>
    <w:basedOn w:val="Normal"/>
    <w:qFormat/>
    <w:pPr>
      <w:spacing w:before="0" w:after="120"/>
      <w:jc w:val="both"/>
    </w:pPr>
    <w:rPr/>
  </w:style>
  <w:style w:type="paragraph" w:styleId="Contedodoquadro" w:customStyle="1">
    <w:name w:val="Conteúdo do quadro"/>
    <w:basedOn w:val="Normal"/>
    <w:qFormat/>
    <w:pPr/>
    <w:rPr/>
  </w:style>
  <w:style w:type="paragraph" w:styleId="Normal2" w:customStyle="1">
    <w:name w:val="Normal2"/>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mailto:administracao@saogabriel.es.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3570</TotalTime>
  <Application>LibreOffice/24.2.6.2$Windows_X86_64 LibreOffice_project/ef66aa7e36a1bb8e65bfbc63aba53045a14d0871</Application>
  <AppVersion>15.0000</AppVersion>
  <Pages>15</Pages>
  <Words>8353</Words>
  <Characters>47103</Characters>
  <CharactersWithSpaces>55068</CharactersWithSpaces>
  <Paragraphs>331</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2026-05-05T20:49:00Z</cp:lastPrinted>
  <dcterms:modified xsi:type="dcterms:W3CDTF">2026-05-28T14:30:13Z</dcterms:modified>
  <cp:revision>177</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